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CB5B65" w14:textId="77777777" w:rsidR="009008F2" w:rsidRDefault="009008F2" w:rsidP="009008F2">
      <w:pPr>
        <w:jc w:val="center"/>
      </w:pPr>
    </w:p>
    <w:p w14:paraId="5E7E0516" w14:textId="77777777" w:rsidR="009008F2" w:rsidRDefault="009008F2" w:rsidP="00887B5E">
      <w:pPr>
        <w:jc w:val="center"/>
        <w:rPr>
          <w:b/>
        </w:rPr>
      </w:pPr>
      <w:r w:rsidRPr="009008F2">
        <w:rPr>
          <w:b/>
        </w:rPr>
        <w:t>Directrices para</w:t>
      </w:r>
      <w:r>
        <w:rPr>
          <w:b/>
        </w:rPr>
        <w:t xml:space="preserve"> Unidades de tomas de muestras con fines de</w:t>
      </w:r>
      <w:r w:rsidRPr="009008F2">
        <w:rPr>
          <w:b/>
        </w:rPr>
        <w:t xml:space="preserve"> investigación</w:t>
      </w:r>
    </w:p>
    <w:p w14:paraId="2395FD34" w14:textId="77777777" w:rsidR="00887B5E" w:rsidRPr="009008F2" w:rsidRDefault="00887B5E" w:rsidP="00887B5E">
      <w:pPr>
        <w:jc w:val="center"/>
        <w:rPr>
          <w:b/>
        </w:rPr>
      </w:pPr>
    </w:p>
    <w:p w14:paraId="4C1F700F" w14:textId="77777777" w:rsidR="000D3F24" w:rsidRDefault="009008F2" w:rsidP="00887B5E">
      <w:pPr>
        <w:jc w:val="both"/>
      </w:pPr>
      <w:r>
        <w:t xml:space="preserve">1.- La Unidad de toma de muestra debe contar con un </w:t>
      </w:r>
      <w:r w:rsidR="000D3F24">
        <w:t xml:space="preserve">Académico UC responsable </w:t>
      </w:r>
      <w:r>
        <w:t xml:space="preserve">y una persona que sea la encargada técnica </w:t>
      </w:r>
      <w:r w:rsidR="00B42195">
        <w:t>como enfermera, tecnólogo médico, médico, etc.</w:t>
      </w:r>
    </w:p>
    <w:p w14:paraId="6D1AC3D1" w14:textId="77777777" w:rsidR="00887B5E" w:rsidRDefault="00887B5E" w:rsidP="00887B5E">
      <w:pPr>
        <w:jc w:val="both"/>
      </w:pPr>
    </w:p>
    <w:p w14:paraId="36D716FF" w14:textId="77777777" w:rsidR="000D3F24" w:rsidRDefault="000D3F24" w:rsidP="00887B5E">
      <w:pPr>
        <w:jc w:val="both"/>
      </w:pPr>
      <w:r>
        <w:t xml:space="preserve">3.- Toda Unidad de toma de muestras que tenga fines de investigación debe contar con un protocolo escrito donde se detalle el protocolo a realizar en caso de emergencias médicas. </w:t>
      </w:r>
    </w:p>
    <w:p w14:paraId="749A0807" w14:textId="77777777" w:rsidR="00887B5E" w:rsidRDefault="00887B5E" w:rsidP="00887B5E">
      <w:pPr>
        <w:jc w:val="both"/>
      </w:pPr>
    </w:p>
    <w:p w14:paraId="5432FB1D" w14:textId="77777777" w:rsidR="001B2C5F" w:rsidRDefault="000D3F24" w:rsidP="00887B5E">
      <w:pPr>
        <w:jc w:val="both"/>
      </w:pPr>
      <w:r>
        <w:t xml:space="preserve">2.- </w:t>
      </w:r>
      <w:r w:rsidR="001B2C5F">
        <w:t xml:space="preserve"> La Unidad  de toma de muestras deberá contar con las siguientes dependencias, según corresponda a las actividades que se realizan:</w:t>
      </w:r>
    </w:p>
    <w:p w14:paraId="42D86A11" w14:textId="77777777" w:rsidR="001B2C5F" w:rsidRDefault="001B2C5F" w:rsidP="00887B5E">
      <w:pPr>
        <w:jc w:val="both"/>
      </w:pPr>
      <w:r>
        <w:t xml:space="preserve">- Sala de espera o lugar de espera antes de la toma de muestra. </w:t>
      </w:r>
    </w:p>
    <w:p w14:paraId="0369E28D" w14:textId="77777777" w:rsidR="000D3F24" w:rsidRDefault="000D3F24" w:rsidP="00887B5E">
      <w:pPr>
        <w:jc w:val="both"/>
      </w:pPr>
      <w:r>
        <w:t>- Lavamanos</w:t>
      </w:r>
    </w:p>
    <w:p w14:paraId="1024DC92" w14:textId="77777777" w:rsidR="001B2C5F" w:rsidRDefault="001B2C5F" w:rsidP="00887B5E">
      <w:pPr>
        <w:jc w:val="both"/>
      </w:pPr>
      <w:r>
        <w:t>- Delimitación de un área limpia para la preparación de material e insumos clínicos</w:t>
      </w:r>
    </w:p>
    <w:p w14:paraId="712E79FE" w14:textId="77777777" w:rsidR="001B2C5F" w:rsidRDefault="001B2C5F" w:rsidP="00887B5E">
      <w:pPr>
        <w:jc w:val="both"/>
      </w:pPr>
      <w:r>
        <w:t xml:space="preserve">-  </w:t>
      </w:r>
      <w:bookmarkStart w:id="0" w:name="_GoBack"/>
      <w:bookmarkEnd w:id="0"/>
      <w:r>
        <w:t>Delimitación de área sucia separado del mesón del área limpia</w:t>
      </w:r>
    </w:p>
    <w:p w14:paraId="1F0B04E1" w14:textId="77777777" w:rsidR="001B2C5F" w:rsidRDefault="001B2C5F" w:rsidP="00887B5E">
      <w:pPr>
        <w:jc w:val="both"/>
      </w:pPr>
      <w:r>
        <w:t>- Camilla de examen o ginecológica, cuando corresponda.</w:t>
      </w:r>
    </w:p>
    <w:p w14:paraId="04C6EC1B" w14:textId="77777777" w:rsidR="001B2C5F" w:rsidRDefault="001B2C5F" w:rsidP="00887B5E">
      <w:pPr>
        <w:jc w:val="both"/>
      </w:pPr>
      <w:r>
        <w:t>- Mobiliario para almacenar insumos clínicos limpios y estériles</w:t>
      </w:r>
    </w:p>
    <w:p w14:paraId="5E5C7C68" w14:textId="77777777" w:rsidR="000D3F24" w:rsidRDefault="001B2C5F" w:rsidP="00887B5E">
      <w:pPr>
        <w:jc w:val="both"/>
      </w:pPr>
      <w:r>
        <w:t>-  Contenedor para eliminación de elementos cortopunzantes, todo ello conforme a las normas que le sean aplicables del</w:t>
      </w:r>
      <w:r w:rsidR="009008F2">
        <w:t xml:space="preserve"> decreto supremo N° 6, de 2009</w:t>
      </w:r>
      <w:r w:rsidR="000D3F24">
        <w:t xml:space="preserve"> del Ministerio de Salud. </w:t>
      </w:r>
    </w:p>
    <w:p w14:paraId="1D1D8F41" w14:textId="77777777" w:rsidR="000D3F24" w:rsidRDefault="000D3F24" w:rsidP="00887B5E">
      <w:pPr>
        <w:jc w:val="both"/>
      </w:pPr>
      <w:r>
        <w:t>- Contenedores para traslado de muestras y material contaminado según corresponda. Al momento de su generación, los residuos deberán ser segregados y almacenados en contenedores de acuerdo a las categorías señaladas en el artículo 3º del REAS. Dicha segregación deberá mantenerse durante todas las etapas de manejo de los residuos hasta su eliminación o tratamiento.</w:t>
      </w:r>
    </w:p>
    <w:p w14:paraId="120D728E" w14:textId="77777777" w:rsidR="009008F2" w:rsidRDefault="000D3F24" w:rsidP="00887B5E">
      <w:pPr>
        <w:jc w:val="both"/>
      </w:pPr>
      <w:r>
        <w:t>- Superficie de apoyo para el trabajo administrativo separada de mesones de trabajo clínico.</w:t>
      </w:r>
    </w:p>
    <w:p w14:paraId="28F05F12" w14:textId="77777777" w:rsidR="00373A7B" w:rsidRDefault="00373A7B" w:rsidP="00887B5E">
      <w:pPr>
        <w:jc w:val="both"/>
      </w:pPr>
    </w:p>
    <w:p w14:paraId="287BF2D5" w14:textId="77777777" w:rsidR="009008F2" w:rsidRDefault="000D3F24" w:rsidP="00887B5E">
      <w:pPr>
        <w:jc w:val="both"/>
      </w:pPr>
      <w:r>
        <w:t xml:space="preserve">3.- Serán llamados residuos especiales </w:t>
      </w:r>
      <w:r w:rsidR="009008F2">
        <w:t xml:space="preserve">aquellos </w:t>
      </w:r>
      <w:r>
        <w:t xml:space="preserve">residuos </w:t>
      </w:r>
      <w:r w:rsidR="009008F2">
        <w:t>sospechosos de contener agen</w:t>
      </w:r>
      <w:r>
        <w:t xml:space="preserve">tes patógenos en concentración </w:t>
      </w:r>
      <w:r w:rsidR="009008F2">
        <w:t>o cantidades suficientes para causar enfermed</w:t>
      </w:r>
      <w:r>
        <w:t xml:space="preserve">ad a un huésped susceptible. En </w:t>
      </w:r>
      <w:r w:rsidR="009008F2">
        <w:t>esta categoría se incluyen los siguientes:</w:t>
      </w:r>
    </w:p>
    <w:p w14:paraId="361F9F2F" w14:textId="77777777" w:rsidR="000D3F24" w:rsidRDefault="000D3F24" w:rsidP="00887B5E">
      <w:pPr>
        <w:jc w:val="both"/>
      </w:pPr>
      <w:r>
        <w:lastRenderedPageBreak/>
        <w:t xml:space="preserve">- </w:t>
      </w:r>
      <w:r w:rsidR="009008F2">
        <w:t xml:space="preserve"> Cultivos y muestras almacenadas: Residu</w:t>
      </w:r>
      <w:r>
        <w:t xml:space="preserve">os de la producción de material </w:t>
      </w:r>
      <w:r w:rsidR="009008F2">
        <w:t>biológico; vacunas de virus vivo, plac</w:t>
      </w:r>
      <w:r>
        <w:t xml:space="preserve">as de cultivo y mecanismos para </w:t>
      </w:r>
      <w:r w:rsidR="009008F2">
        <w:t>transferir, inocular o mezclar cultivos;</w:t>
      </w:r>
      <w:r>
        <w:t xml:space="preserve"> residuos de cultivos; muestras </w:t>
      </w:r>
      <w:r w:rsidR="009008F2">
        <w:t xml:space="preserve">almacenadas de agentes infecciosos y </w:t>
      </w:r>
      <w:r>
        <w:t xml:space="preserve">productos biológicos asociados, </w:t>
      </w:r>
      <w:r w:rsidR="009008F2">
        <w:t xml:space="preserve">incluyendo cultivos de laboratorios médicos y </w:t>
      </w:r>
      <w:r>
        <w:t xml:space="preserve">patológicos; y cultivos y cepas de agentes </w:t>
      </w:r>
      <w:r w:rsidR="009008F2">
        <w:t>infecciosos de laboratorios.</w:t>
      </w:r>
    </w:p>
    <w:p w14:paraId="762AA4B0" w14:textId="77777777" w:rsidR="009008F2" w:rsidRDefault="000D3F24" w:rsidP="00887B5E">
      <w:pPr>
        <w:jc w:val="both"/>
      </w:pPr>
      <w:r>
        <w:t xml:space="preserve">- </w:t>
      </w:r>
      <w:r w:rsidR="009008F2">
        <w:t>Residuos patológicos: Restos biológicos, incl</w:t>
      </w:r>
      <w:r>
        <w:t xml:space="preserve">uyendo tejidos, órganos, partes </w:t>
      </w:r>
      <w:r w:rsidR="009008F2">
        <w:t>del cuerpo que hayan sido removidos de se</w:t>
      </w:r>
      <w:r>
        <w:t xml:space="preserve">res o restos humanos, incluidos </w:t>
      </w:r>
      <w:r w:rsidR="009008F2">
        <w:t xml:space="preserve">aquellos fluidos corporales </w:t>
      </w:r>
      <w:r>
        <w:t>que presenten riesgo sanitario.</w:t>
      </w:r>
    </w:p>
    <w:p w14:paraId="5CFCF33D" w14:textId="77777777" w:rsidR="009008F2" w:rsidRDefault="000D3F24" w:rsidP="00887B5E">
      <w:pPr>
        <w:jc w:val="both"/>
      </w:pPr>
      <w:r>
        <w:t>- S</w:t>
      </w:r>
      <w:r w:rsidR="009008F2">
        <w:t>angre y productos derivados incluyendo el plasma, el suero y demás</w:t>
      </w:r>
      <w:r>
        <w:t xml:space="preserve"> </w:t>
      </w:r>
      <w:r w:rsidR="009008F2">
        <w:t>componentes sanguíneos y elementos tales como gasas y algodones,</w:t>
      </w:r>
      <w:r>
        <w:t xml:space="preserve"> </w:t>
      </w:r>
      <w:r w:rsidR="009008F2">
        <w:t>saturados con éstos. Se excluyen de esta categoría la sangre, productos</w:t>
      </w:r>
      <w:r>
        <w:t xml:space="preserve"> </w:t>
      </w:r>
      <w:r w:rsidR="009008F2">
        <w:t>derivados y materiales provenientes de bancos de sangre que luego de ser</w:t>
      </w:r>
      <w:r>
        <w:t xml:space="preserve"> </w:t>
      </w:r>
      <w:r w:rsidR="009008F2">
        <w:t>analizados se haya demostrado la ausencia de riesgos para la salud. Además</w:t>
      </w:r>
      <w:r>
        <w:t xml:space="preserve"> </w:t>
      </w:r>
      <w:r w:rsidR="009008F2">
        <w:t>se excluye el material contaminado que haya sido sometido a desinfección.</w:t>
      </w:r>
    </w:p>
    <w:p w14:paraId="6F0C5C60" w14:textId="77777777" w:rsidR="000D3F24" w:rsidRDefault="000D3F24" w:rsidP="00887B5E">
      <w:pPr>
        <w:jc w:val="both"/>
      </w:pPr>
      <w:r>
        <w:t xml:space="preserve">- </w:t>
      </w:r>
      <w:r w:rsidR="009008F2">
        <w:t>Cortopunzantes: Residuos resultantes del diagnóstico, tratamiento,</w:t>
      </w:r>
      <w:r>
        <w:t xml:space="preserve"> </w:t>
      </w:r>
      <w:r w:rsidR="009008F2">
        <w:t>investigación o producción, capaces de provocar cortes o punciones. Se</w:t>
      </w:r>
      <w:r>
        <w:t xml:space="preserve"> </w:t>
      </w:r>
      <w:r w:rsidR="009008F2">
        <w:t>incluye en esta categoría residuos tales como agujas, pipetas Pasteur,</w:t>
      </w:r>
      <w:r>
        <w:t xml:space="preserve"> </w:t>
      </w:r>
      <w:r w:rsidR="009008F2">
        <w:t>bisturís, placas de cultivos y demás cristalería, entre otros.</w:t>
      </w:r>
    </w:p>
    <w:p w14:paraId="4840BA52" w14:textId="77777777" w:rsidR="009008F2" w:rsidRDefault="009008F2" w:rsidP="00887B5E">
      <w:pPr>
        <w:jc w:val="both"/>
      </w:pPr>
    </w:p>
    <w:p w14:paraId="7638C7E8" w14:textId="77777777" w:rsidR="009008F2" w:rsidRDefault="000D3F24" w:rsidP="00887B5E">
      <w:pPr>
        <w:jc w:val="both"/>
      </w:pPr>
      <w:r>
        <w:t xml:space="preserve">4.- </w:t>
      </w:r>
      <w:r w:rsidR="009008F2">
        <w:t xml:space="preserve"> Los contenedores que se ut</w:t>
      </w:r>
      <w:r>
        <w:t xml:space="preserve">ilicen para el almacenamiento o </w:t>
      </w:r>
      <w:r w:rsidR="009008F2">
        <w:t>cualquier otra etapa de manejo de Residu</w:t>
      </w:r>
      <w:r>
        <w:t xml:space="preserve">os Especiales </w:t>
      </w:r>
      <w:r w:rsidR="009008F2">
        <w:t>deberán:</w:t>
      </w:r>
    </w:p>
    <w:p w14:paraId="7B5A139A" w14:textId="77777777" w:rsidR="009008F2" w:rsidRDefault="009008F2" w:rsidP="00887B5E">
      <w:pPr>
        <w:jc w:val="both"/>
      </w:pPr>
    </w:p>
    <w:p w14:paraId="49AEF2C1" w14:textId="77777777" w:rsidR="000D3F24" w:rsidRDefault="009008F2" w:rsidP="00887B5E">
      <w:pPr>
        <w:pStyle w:val="Prrafodelista"/>
        <w:numPr>
          <w:ilvl w:val="0"/>
          <w:numId w:val="2"/>
        </w:numPr>
        <w:jc w:val="both"/>
      </w:pPr>
      <w:r>
        <w:t>Tener tapa de cierre ajustado.</w:t>
      </w:r>
    </w:p>
    <w:p w14:paraId="57A3C109" w14:textId="77777777" w:rsidR="000D3F24" w:rsidRDefault="000D3F24" w:rsidP="00887B5E">
      <w:pPr>
        <w:pStyle w:val="Prrafodelista"/>
        <w:numPr>
          <w:ilvl w:val="0"/>
          <w:numId w:val="2"/>
        </w:numPr>
        <w:jc w:val="both"/>
      </w:pPr>
      <w:r>
        <w:t>Tener bordes romos y superficies lisas.</w:t>
      </w:r>
    </w:p>
    <w:p w14:paraId="403157D4" w14:textId="77777777" w:rsidR="000D3F24" w:rsidRDefault="000D3F24" w:rsidP="00887B5E">
      <w:pPr>
        <w:pStyle w:val="Prrafodelista"/>
        <w:numPr>
          <w:ilvl w:val="0"/>
          <w:numId w:val="2"/>
        </w:numPr>
        <w:jc w:val="both"/>
      </w:pPr>
      <w:r>
        <w:t>Tener asas que faciliten su manejo.</w:t>
      </w:r>
    </w:p>
    <w:p w14:paraId="40032686" w14:textId="77777777" w:rsidR="000D3F24" w:rsidRDefault="000D3F24" w:rsidP="00887B5E">
      <w:pPr>
        <w:pStyle w:val="Prrafodelista"/>
        <w:numPr>
          <w:ilvl w:val="0"/>
          <w:numId w:val="2"/>
        </w:numPr>
        <w:jc w:val="both"/>
      </w:pPr>
      <w:r>
        <w:t>Ser de material resistente a la manipulación y a los residuos contenidos y estancos</w:t>
      </w:r>
    </w:p>
    <w:p w14:paraId="53E9B998" w14:textId="77777777" w:rsidR="000D3F24" w:rsidRDefault="000D3F24" w:rsidP="00887B5E">
      <w:pPr>
        <w:pStyle w:val="Prrafodelista"/>
        <w:numPr>
          <w:ilvl w:val="0"/>
          <w:numId w:val="2"/>
        </w:numPr>
        <w:jc w:val="both"/>
      </w:pPr>
      <w:r>
        <w:t>Cumplir con los estándares de color y rotulación que se indican en el REAS</w:t>
      </w:r>
    </w:p>
    <w:p w14:paraId="4881F108" w14:textId="77777777" w:rsidR="000D3F24" w:rsidRDefault="000D3F24" w:rsidP="00887B5E">
      <w:pPr>
        <w:pStyle w:val="Prrafodelista"/>
        <w:numPr>
          <w:ilvl w:val="0"/>
          <w:numId w:val="2"/>
        </w:numPr>
        <w:jc w:val="both"/>
      </w:pPr>
      <w:r>
        <w:t>Los contenedores destinados a los residuos clasificados como Cortopunzantes deberán ser rígidos y resistentes al corte y la punción.</w:t>
      </w:r>
    </w:p>
    <w:p w14:paraId="3C08A090" w14:textId="77777777" w:rsidR="009008F2" w:rsidRDefault="009008F2" w:rsidP="00887B5E">
      <w:pPr>
        <w:jc w:val="both"/>
      </w:pPr>
    </w:p>
    <w:p w14:paraId="32049A4B" w14:textId="77777777" w:rsidR="00373A7B" w:rsidRDefault="00373A7B" w:rsidP="00887B5E">
      <w:pPr>
        <w:jc w:val="both"/>
      </w:pPr>
      <w:r>
        <w:t xml:space="preserve">5.- El traslado de los residuos especiales </w:t>
      </w:r>
      <w:r w:rsidR="009008F2">
        <w:t>d</w:t>
      </w:r>
      <w:r>
        <w:t xml:space="preserve">eberá realizarse a través de un </w:t>
      </w:r>
      <w:r w:rsidR="009008F2">
        <w:t>p</w:t>
      </w:r>
      <w:r w:rsidR="00887B5E">
        <w:t>rocedimiento de trabajo seguro:</w:t>
      </w:r>
    </w:p>
    <w:p w14:paraId="759FEAE3" w14:textId="77777777" w:rsidR="00373A7B" w:rsidRDefault="009008F2" w:rsidP="00887B5E">
      <w:pPr>
        <w:pStyle w:val="Prrafodelista"/>
        <w:numPr>
          <w:ilvl w:val="0"/>
          <w:numId w:val="2"/>
        </w:numPr>
        <w:jc w:val="both"/>
      </w:pPr>
      <w:r>
        <w:t>Durante el retiro y transporte interno</w:t>
      </w:r>
      <w:r w:rsidR="00373A7B">
        <w:t xml:space="preserve">, los </w:t>
      </w:r>
      <w:r>
        <w:t>residuos depositados en contenedores y bolsa</w:t>
      </w:r>
      <w:r w:rsidR="00373A7B">
        <w:t xml:space="preserve">s, no podrán ser manipulados de </w:t>
      </w:r>
      <w:r>
        <w:t xml:space="preserve">forma diferente a lo </w:t>
      </w:r>
      <w:r w:rsidR="00887B5E">
        <w:t>establecido en el REAS.</w:t>
      </w:r>
    </w:p>
    <w:p w14:paraId="1302F6C9" w14:textId="77777777" w:rsidR="00373A7B" w:rsidRDefault="00373A7B" w:rsidP="00887B5E">
      <w:pPr>
        <w:pStyle w:val="Prrafodelista"/>
        <w:ind w:left="405"/>
        <w:jc w:val="both"/>
      </w:pPr>
    </w:p>
    <w:p w14:paraId="73C23B48" w14:textId="77777777" w:rsidR="00887B5E" w:rsidRDefault="00887B5E" w:rsidP="00887B5E">
      <w:pPr>
        <w:pStyle w:val="Prrafodelista"/>
        <w:numPr>
          <w:ilvl w:val="0"/>
          <w:numId w:val="2"/>
        </w:numPr>
        <w:jc w:val="both"/>
      </w:pPr>
      <w:r>
        <w:lastRenderedPageBreak/>
        <w:t xml:space="preserve">Los contenedores de residuos especiales deberán retirarse </w:t>
      </w:r>
      <w:r w:rsidR="009008F2">
        <w:t xml:space="preserve"> a lo menos un vez</w:t>
      </w:r>
      <w:r w:rsidR="00373A7B">
        <w:t xml:space="preserve"> </w:t>
      </w:r>
      <w:r w:rsidR="009008F2">
        <w:t xml:space="preserve">al día o cuando se haya completado 3/4 de su capacidad. </w:t>
      </w:r>
    </w:p>
    <w:p w14:paraId="7D69372F" w14:textId="77777777" w:rsidR="00887B5E" w:rsidRDefault="00887B5E" w:rsidP="00887B5E">
      <w:pPr>
        <w:pStyle w:val="Prrafodelista"/>
        <w:jc w:val="both"/>
      </w:pPr>
    </w:p>
    <w:p w14:paraId="4876F3FE" w14:textId="77777777" w:rsidR="009008F2" w:rsidRDefault="009008F2" w:rsidP="00887B5E">
      <w:pPr>
        <w:pStyle w:val="Prrafodelista"/>
        <w:numPr>
          <w:ilvl w:val="0"/>
          <w:numId w:val="2"/>
        </w:numPr>
        <w:jc w:val="both"/>
      </w:pPr>
      <w:r>
        <w:t>El material cortopunzante se deberá retirar cuando el contenedor respectivo esté</w:t>
      </w:r>
      <w:r w:rsidR="00887B5E">
        <w:t xml:space="preserve"> </w:t>
      </w:r>
      <w:r>
        <w:t>con su capacidad en 3/4, momento en que éste debe cerrarse y sellarse.</w:t>
      </w:r>
    </w:p>
    <w:p w14:paraId="167B4319" w14:textId="77777777" w:rsidR="009008F2" w:rsidRDefault="009008F2" w:rsidP="00887B5E">
      <w:pPr>
        <w:jc w:val="both"/>
      </w:pPr>
    </w:p>
    <w:p w14:paraId="11C9D82C" w14:textId="77777777" w:rsidR="009008F2" w:rsidRDefault="009008F2" w:rsidP="00887B5E">
      <w:pPr>
        <w:jc w:val="both"/>
      </w:pPr>
    </w:p>
    <w:sectPr w:rsidR="009008F2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94A6904" w14:textId="77777777" w:rsidR="0005107E" w:rsidRDefault="0005107E" w:rsidP="009008F2">
      <w:pPr>
        <w:spacing w:after="0" w:line="240" w:lineRule="auto"/>
      </w:pPr>
      <w:r>
        <w:separator/>
      </w:r>
    </w:p>
  </w:endnote>
  <w:endnote w:type="continuationSeparator" w:id="0">
    <w:p w14:paraId="736DDF6B" w14:textId="77777777" w:rsidR="0005107E" w:rsidRDefault="0005107E" w:rsidP="00900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776CB68" w14:textId="77777777" w:rsidR="0005107E" w:rsidRDefault="0005107E" w:rsidP="009008F2">
      <w:pPr>
        <w:spacing w:after="0" w:line="240" w:lineRule="auto"/>
      </w:pPr>
      <w:r>
        <w:separator/>
      </w:r>
    </w:p>
  </w:footnote>
  <w:footnote w:type="continuationSeparator" w:id="0">
    <w:p w14:paraId="2C93FAEF" w14:textId="77777777" w:rsidR="0005107E" w:rsidRDefault="0005107E" w:rsidP="00900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D11500" w14:textId="77777777" w:rsidR="00373A7B" w:rsidRDefault="00373A7B" w:rsidP="009008F2">
    <w:pPr>
      <w:jc w:val="center"/>
      <w:rPr>
        <w:lang w:val="es-ES_tradnl"/>
      </w:rPr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3130D8C6" wp14:editId="39F8FA79">
          <wp:simplePos x="0" y="0"/>
          <wp:positionH relativeFrom="margin">
            <wp:posOffset>-114300</wp:posOffset>
          </wp:positionH>
          <wp:positionV relativeFrom="paragraph">
            <wp:posOffset>118110</wp:posOffset>
          </wp:positionV>
          <wp:extent cx="866775" cy="866775"/>
          <wp:effectExtent l="0" t="0" r="0" b="0"/>
          <wp:wrapThrough wrapText="bothSides">
            <wp:wrapPolygon edited="0">
              <wp:start x="0" y="0"/>
              <wp:lineTo x="0" y="20888"/>
              <wp:lineTo x="20888" y="20888"/>
              <wp:lineTo x="20888" y="0"/>
              <wp:lineTo x="0" y="0"/>
            </wp:wrapPolygon>
          </wp:wrapThrough>
          <wp:docPr id="5" name="Imagen 5" descr="logopuc-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logopuc-col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866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31F900A" w14:textId="77777777" w:rsidR="00373A7B" w:rsidRDefault="00373A7B" w:rsidP="009008F2">
    <w:pPr>
      <w:jc w:val="center"/>
      <w:rPr>
        <w:lang w:val="es-ES_tradnl"/>
      </w:rPr>
    </w:pPr>
  </w:p>
  <w:p w14:paraId="1CE5D72E" w14:textId="77777777" w:rsidR="00373A7B" w:rsidRPr="00783FB4" w:rsidRDefault="00373A7B" w:rsidP="009008F2">
    <w:pPr>
      <w:ind w:left="993" w:right="418"/>
      <w:jc w:val="center"/>
      <w:rPr>
        <w:color w:val="A6A6A6" w:themeColor="background1" w:themeShade="A6"/>
        <w:sz w:val="32"/>
        <w:lang w:val="es-ES_tradnl"/>
      </w:rPr>
    </w:pPr>
    <w:r>
      <w:rPr>
        <w:color w:val="A6A6A6" w:themeColor="background1" w:themeShade="A6"/>
        <w:sz w:val="32"/>
        <w:lang w:val="es-ES_tradnl"/>
      </w:rPr>
      <w:t xml:space="preserve">   </w:t>
    </w:r>
    <w:r w:rsidRPr="00783FB4">
      <w:rPr>
        <w:color w:val="A6A6A6" w:themeColor="background1" w:themeShade="A6"/>
        <w:sz w:val="32"/>
        <w:lang w:val="es-ES_tradnl"/>
      </w:rPr>
      <w:t xml:space="preserve">Comité </w:t>
    </w:r>
    <w:r>
      <w:rPr>
        <w:color w:val="A6A6A6" w:themeColor="background1" w:themeShade="A6"/>
        <w:sz w:val="32"/>
        <w:lang w:val="es-ES_tradnl"/>
      </w:rPr>
      <w:t xml:space="preserve"> Asesor Institucional de Seguridad en la</w:t>
    </w:r>
    <w:r w:rsidRPr="00783FB4">
      <w:rPr>
        <w:color w:val="A6A6A6" w:themeColor="background1" w:themeShade="A6"/>
        <w:sz w:val="32"/>
        <w:lang w:val="es-ES_tradnl"/>
      </w:rPr>
      <w:t xml:space="preserve"> Investigación</w:t>
    </w:r>
  </w:p>
  <w:p w14:paraId="387CC9D1" w14:textId="77777777" w:rsidR="00373A7B" w:rsidRPr="009008F2" w:rsidRDefault="00373A7B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127BF7"/>
    <w:multiLevelType w:val="hybridMultilevel"/>
    <w:tmpl w:val="A85EAB12"/>
    <w:lvl w:ilvl="0" w:tplc="2BF6E7A8">
      <w:start w:val="4"/>
      <w:numFmt w:val="bullet"/>
      <w:lvlText w:val="-"/>
      <w:lvlJc w:val="left"/>
      <w:pPr>
        <w:ind w:left="405" w:hanging="360"/>
      </w:pPr>
      <w:rPr>
        <w:rFonts w:ascii="Calibri" w:eastAsiaTheme="minorHAnsi" w:hAnsi="Calibri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>
    <w:nsid w:val="625649C2"/>
    <w:multiLevelType w:val="hybridMultilevel"/>
    <w:tmpl w:val="267A7CE6"/>
    <w:lvl w:ilvl="0" w:tplc="ACF22E8C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2C5F"/>
    <w:rsid w:val="0005107E"/>
    <w:rsid w:val="000D3F24"/>
    <w:rsid w:val="001B2C5F"/>
    <w:rsid w:val="00222550"/>
    <w:rsid w:val="00373A7B"/>
    <w:rsid w:val="00887B5E"/>
    <w:rsid w:val="009008F2"/>
    <w:rsid w:val="00B42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688F0A5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008F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008F2"/>
  </w:style>
  <w:style w:type="paragraph" w:styleId="Piedepgina">
    <w:name w:val="footer"/>
    <w:basedOn w:val="Normal"/>
    <w:link w:val="PiedepginaCar"/>
    <w:uiPriority w:val="99"/>
    <w:unhideWhenUsed/>
    <w:rsid w:val="009008F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008F2"/>
  </w:style>
  <w:style w:type="paragraph" w:styleId="Prrafodelista">
    <w:name w:val="List Paragraph"/>
    <w:basedOn w:val="Normal"/>
    <w:uiPriority w:val="34"/>
    <w:qFormat/>
    <w:rsid w:val="000D3F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008F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008F2"/>
  </w:style>
  <w:style w:type="paragraph" w:styleId="Piedepgina">
    <w:name w:val="footer"/>
    <w:basedOn w:val="Normal"/>
    <w:link w:val="PiedepginaCar"/>
    <w:uiPriority w:val="99"/>
    <w:unhideWhenUsed/>
    <w:rsid w:val="009008F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008F2"/>
  </w:style>
  <w:style w:type="paragraph" w:styleId="Prrafodelista">
    <w:name w:val="List Paragraph"/>
    <w:basedOn w:val="Normal"/>
    <w:uiPriority w:val="34"/>
    <w:qFormat/>
    <w:rsid w:val="000D3F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3</Pages>
  <Words>644</Words>
  <Characters>3546</Characters>
  <Application>Microsoft Macintosh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 Seguel</dc:creator>
  <cp:keywords/>
  <dc:description/>
  <cp:lastModifiedBy>Andrea Leisewitz</cp:lastModifiedBy>
  <cp:revision>2</cp:revision>
  <dcterms:created xsi:type="dcterms:W3CDTF">2015-06-01T19:01:00Z</dcterms:created>
  <dcterms:modified xsi:type="dcterms:W3CDTF">2015-06-25T19:18:00Z</dcterms:modified>
</cp:coreProperties>
</file>